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43" w:rsidRPr="00EC4743" w:rsidRDefault="00EC4743" w:rsidP="00EC4743">
      <w:pPr>
        <w:spacing w:after="0" w:line="375" w:lineRule="atLeast"/>
        <w:rPr>
          <w:rFonts w:ascii="Arial" w:eastAsia="Times New Roman" w:hAnsi="Arial" w:cs="Arial"/>
          <w:b/>
          <w:bCs/>
          <w:caps/>
          <w:color w:val="333333"/>
          <w:sz w:val="30"/>
          <w:szCs w:val="30"/>
        </w:rPr>
      </w:pPr>
      <w:proofErr w:type="gramStart"/>
      <w:r w:rsidRPr="00EC4743">
        <w:rPr>
          <w:rFonts w:ascii="Arial" w:eastAsia="Times New Roman" w:hAnsi="Arial" w:cs="Arial"/>
          <w:b/>
          <w:bCs/>
          <w:caps/>
          <w:color w:val="333333"/>
          <w:sz w:val="30"/>
          <w:szCs w:val="30"/>
        </w:rPr>
        <w:t>АНТИМОНОПОЛЬНЫЙ</w:t>
      </w:r>
      <w:proofErr w:type="gramEnd"/>
      <w:r w:rsidRPr="00EC4743">
        <w:rPr>
          <w:rFonts w:ascii="Arial" w:eastAsia="Times New Roman" w:hAnsi="Arial" w:cs="Arial"/>
          <w:b/>
          <w:bCs/>
          <w:caps/>
          <w:color w:val="333333"/>
          <w:sz w:val="30"/>
          <w:szCs w:val="30"/>
        </w:rPr>
        <w:t xml:space="preserve"> КОМПЛАЕНС ДЛЯ ХОЗЯЙСТВУЮЩИХ СУБЪЕКТОВ. ЦЕЛИ, ЗАДАЧИ, НОРМАТИВНОЕ РЕГУЛИРОВАНИЕ.</w:t>
      </w:r>
    </w:p>
    <w:p w:rsidR="00EC4743" w:rsidRPr="00EC4743" w:rsidRDefault="00F8286C" w:rsidP="00EC4743">
      <w:pPr>
        <w:spacing w:before="100" w:beforeAutospacing="1" w:after="1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C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огласно </w:t>
      </w:r>
      <w:r w:rsidR="00EC4743" w:rsidRPr="00EC474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C4743" w:rsidRPr="00EC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EC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21.12.2017 </w:t>
      </w:r>
      <w:r w:rsidR="00EC4743" w:rsidRPr="00EC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 618 «Об основных направлениях государственной политики по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конкуренции»</w:t>
      </w:r>
      <w:r w:rsidR="00EC4743" w:rsidRPr="00EC4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C4743"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Правительством Российской Федерации </w:t>
      </w:r>
      <w:r w:rsidR="00EC4743" w:rsidRPr="00EC47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комплекс мероприятий, направленных  на оповещение хозяйствующих субъектов</w:t>
      </w:r>
      <w:r w:rsidR="00EC4743" w:rsidRPr="00EC4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занимающих доминирующее положение на товарных рынках </w:t>
      </w:r>
      <w:r w:rsidR="00EC4743" w:rsidRPr="00EC4743"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мерах  </w:t>
      </w:r>
      <w:r w:rsidR="00EC4743" w:rsidRPr="00EC4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стимулирования организаций, внедряющих (внедривших) систему внутреннего обеспечения соответствия требованиям антимонопольного законодательства (далее – антимонопольной комплаенс). </w:t>
      </w:r>
      <w:r w:rsidR="00EC4743" w:rsidRPr="00EC47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EC4743" w:rsidRPr="00EC4743" w:rsidRDefault="00EC4743" w:rsidP="00EC4743">
      <w:pPr>
        <w:spacing w:before="100" w:beforeAutospacing="1" w:after="1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Данная новелла является особенно актуальной в связи с курсом ФАС России и ее территориальных органов на  либерализацию антимонопольного законодательства и расширению применения предупредительных механизмов. Мировой опыт свидетельствует о том, что механизм антимонопольного </w:t>
      </w:r>
      <w:proofErr w:type="spell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комплаенса</w:t>
      </w:r>
      <w:proofErr w:type="spell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 одним из эффективных способов снижения количества антимонопольных нарушений. Целью антимонопольного </w:t>
      </w:r>
      <w:proofErr w:type="spell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комплаенса</w:t>
      </w:r>
      <w:proofErr w:type="spell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компаний является снижение вероятности совершения нарушения антимонопольного законодательства. В европейских странах и США предусмотрена возможность снижение оборотного штрафа в случае наличии действующего антимонопольного </w:t>
      </w:r>
      <w:proofErr w:type="spell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комплаенса</w:t>
      </w:r>
      <w:proofErr w:type="spell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хозяйствующего субъекта. В Российской Федерации в настоящий момент в связи с Указом Президента № 618 прорабатывается Федеральный закон, которым предусматривается правовое регулирование системы внутреннего обеспечения соответствия требованиям антимонопольного законодательства.</w:t>
      </w:r>
    </w:p>
    <w:p w:rsidR="00EC4743" w:rsidRPr="00EC4743" w:rsidRDefault="00EC4743" w:rsidP="00EC4743">
      <w:pPr>
        <w:spacing w:before="100" w:beforeAutospacing="1" w:after="1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Однако можно констатировать, что уже в настоящее время есть ряд «преимуществ» внедрения антимонопольного </w:t>
      </w:r>
      <w:proofErr w:type="spell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комплаенса</w:t>
      </w:r>
      <w:proofErr w:type="spell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так внедренная система может быть признана смягчающим обстоятельством при рассмотрении вопроса о привлечении к административной ответственности. </w:t>
      </w:r>
      <w:proofErr w:type="gram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Постановлением Правительства РФ от 01.03.2018 № 213 «Об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контроля за соблюдением антимонопольного законодательства Российской Федерации» утверждено, что  деятельность хозяйствующих субъектов, подлежащая отнесению к категориям среднего и умеренного риска, подлежит отнесению к категориям умеренного и низкого риска соответственно при наличии в совокупности следующих</w:t>
      </w:r>
      <w:proofErr w:type="gram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условий:</w:t>
      </w:r>
    </w:p>
    <w:p w:rsidR="00EC4743" w:rsidRPr="00EC4743" w:rsidRDefault="00EC4743" w:rsidP="00EC4743">
      <w:pPr>
        <w:spacing w:before="100" w:beforeAutospacing="1" w:after="1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отсутствие в течение 3 лет на день принятия решения о присвоении (изменении) категории риска вступившего в законную силу постановления о назначении административного наказания юридическому лицу, его </w:t>
      </w:r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должностным лицам, индивидуальному предпринимателю за совершение административного правонарушения по </w:t>
      </w:r>
      <w:hyperlink r:id="rId4" w:history="1">
        <w:r w:rsidRPr="00EC4743">
          <w:rPr>
            <w:rFonts w:ascii="Times New Roman" w:eastAsia="Times New Roman" w:hAnsi="Times New Roman" w:cs="Times New Roman"/>
            <w:color w:val="007C84"/>
            <w:sz w:val="28"/>
          </w:rPr>
          <w:t>статьям 14.31</w:t>
        </w:r>
      </w:hyperlink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 - </w:t>
      </w:r>
      <w:hyperlink r:id="rId5" w:history="1">
        <w:r w:rsidRPr="00EC4743">
          <w:rPr>
            <w:rFonts w:ascii="Times New Roman" w:eastAsia="Times New Roman" w:hAnsi="Times New Roman" w:cs="Times New Roman"/>
            <w:color w:val="007C84"/>
            <w:sz w:val="28"/>
          </w:rPr>
          <w:t>14.33</w:t>
        </w:r>
      </w:hyperlink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6" w:history="1">
        <w:r w:rsidRPr="00EC4743">
          <w:rPr>
            <w:rFonts w:ascii="Times New Roman" w:eastAsia="Times New Roman" w:hAnsi="Times New Roman" w:cs="Times New Roman"/>
            <w:color w:val="007C84"/>
            <w:sz w:val="28"/>
          </w:rPr>
          <w:t>14.40</w:t>
        </w:r>
      </w:hyperlink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7" w:history="1">
        <w:r w:rsidRPr="00EC4743">
          <w:rPr>
            <w:rFonts w:ascii="Times New Roman" w:eastAsia="Times New Roman" w:hAnsi="Times New Roman" w:cs="Times New Roman"/>
            <w:color w:val="007C84"/>
            <w:sz w:val="28"/>
          </w:rPr>
          <w:t>14.41</w:t>
        </w:r>
      </w:hyperlink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8" w:history="1">
        <w:r w:rsidRPr="00EC4743">
          <w:rPr>
            <w:rFonts w:ascii="Times New Roman" w:eastAsia="Times New Roman" w:hAnsi="Times New Roman" w:cs="Times New Roman"/>
            <w:color w:val="007C84"/>
            <w:sz w:val="28"/>
          </w:rPr>
          <w:t>частям 2.1</w:t>
        </w:r>
      </w:hyperlink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 - </w:t>
      </w:r>
      <w:hyperlink r:id="rId9" w:history="1">
        <w:r w:rsidRPr="00EC4743">
          <w:rPr>
            <w:rFonts w:ascii="Times New Roman" w:eastAsia="Times New Roman" w:hAnsi="Times New Roman" w:cs="Times New Roman"/>
            <w:color w:val="007C84"/>
            <w:sz w:val="28"/>
          </w:rPr>
          <w:t>2.3</w:t>
        </w:r>
      </w:hyperlink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10" w:history="1">
        <w:r w:rsidRPr="00EC4743">
          <w:rPr>
            <w:rFonts w:ascii="Times New Roman" w:eastAsia="Times New Roman" w:hAnsi="Times New Roman" w:cs="Times New Roman"/>
            <w:color w:val="007C84"/>
            <w:sz w:val="28"/>
          </w:rPr>
          <w:t>2.5</w:t>
        </w:r>
      </w:hyperlink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hyperlink r:id="rId11" w:history="1">
        <w:r w:rsidRPr="00EC4743">
          <w:rPr>
            <w:rFonts w:ascii="Times New Roman" w:eastAsia="Times New Roman" w:hAnsi="Times New Roman" w:cs="Times New Roman"/>
            <w:color w:val="007C84"/>
            <w:sz w:val="28"/>
          </w:rPr>
          <w:t>2.6 статьи 19.5</w:t>
        </w:r>
      </w:hyperlink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hyperlink r:id="rId12" w:history="1">
        <w:r w:rsidRPr="00EC4743">
          <w:rPr>
            <w:rFonts w:ascii="Times New Roman" w:eastAsia="Times New Roman" w:hAnsi="Times New Roman" w:cs="Times New Roman"/>
            <w:color w:val="007C84"/>
            <w:sz w:val="28"/>
          </w:rPr>
          <w:t>статье 19.8</w:t>
        </w:r>
      </w:hyperlink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Кодекса Российской Федерации об административных правонарушениях;</w:t>
      </w:r>
      <w:proofErr w:type="gramEnd"/>
    </w:p>
    <w:p w:rsidR="00EC4743" w:rsidRPr="00EC4743" w:rsidRDefault="00EC4743" w:rsidP="00EC4743">
      <w:pPr>
        <w:spacing w:before="100" w:beforeAutospacing="1" w:after="1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б) функционирование у хозяйствующего субъекта в течение не менее одного года на день принятия решения о присвоении (изменении) категории риска системы правовых и организационных мер, направленных на соблюдение таким хозяйствующим субъектом требований антимонопольного законодательства Российской Федерации, предусмотренной внутренним актом (актами) хозяйствующего субъекта либо другого лица из числа лиц, входящих в одну группу лиц с хозяйствующим субъектом, если такие внутренние акты</w:t>
      </w:r>
      <w:proofErr w:type="gram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применяются к хозяйствующему субъекту.</w:t>
      </w:r>
    </w:p>
    <w:p w:rsidR="00EC4743" w:rsidRPr="00EC4743" w:rsidRDefault="008F028A" w:rsidP="00EC4743">
      <w:pPr>
        <w:spacing w:before="100" w:beforeAutospacing="1" w:after="1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категории риска зависит</w:t>
      </w:r>
      <w:r w:rsidR="00EC4743"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возможность осуществлять ФАС России и ее территориальными органами проведение плановых  проверок, а также их периодичность.</w:t>
      </w:r>
    </w:p>
    <w:p w:rsidR="00EC4743" w:rsidRPr="00EC4743" w:rsidRDefault="00EC4743" w:rsidP="00EC4743">
      <w:pPr>
        <w:spacing w:before="100" w:beforeAutospacing="1" w:after="1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внедрения антимонопольного </w:t>
      </w:r>
      <w:proofErr w:type="spellStart"/>
      <w:r w:rsidR="008F028A"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комплаенс</w:t>
      </w:r>
      <w:r w:rsidR="008F028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компания разрабатывает внутренние документы, определяющие систему рисков нарушения антимонопольного законодательства и механизмы выявления таких рисков. Такие риски могут различаться в зависимости от условий </w:t>
      </w:r>
      <w:r w:rsidR="008F028A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осуществления деятельности</w:t>
      </w:r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, положения субъекта на рынке, специфики товарного рынка.</w:t>
      </w:r>
    </w:p>
    <w:p w:rsidR="00EC4743" w:rsidRPr="00EC4743" w:rsidRDefault="00EC4743" w:rsidP="00EC4743">
      <w:pPr>
        <w:spacing w:before="100" w:beforeAutospacing="1" w:after="1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Безусловно, внедрение </w:t>
      </w:r>
      <w:proofErr w:type="spell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комплаенса</w:t>
      </w:r>
      <w:proofErr w:type="spell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подразумевает как ознакомления сотрудников с актами </w:t>
      </w:r>
      <w:proofErr w:type="spell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комплаенса</w:t>
      </w:r>
      <w:proofErr w:type="spell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так и обучения сотрудников антимонопольному праву. Проект Закона о </w:t>
      </w:r>
      <w:proofErr w:type="spell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комплаенсе</w:t>
      </w:r>
      <w:proofErr w:type="spell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содержит, в том числе порядок работы с данным документом, так в случае возбуждения дела, на лицо, которое внедрило комплаенс, будет возлагаться обязанность доказательства комиссии антимонопольного органа, что данный документ фактически внедрен, а нарушение стало лишь «человеческим фактором». Однако впоследствии данное обстоятельство будет учтено при рассмотрении вопроса о привлечении к административной ответственности.</w:t>
      </w:r>
    </w:p>
    <w:p w:rsidR="001064C7" w:rsidRPr="00D0486C" w:rsidRDefault="00EC4743" w:rsidP="00D0486C">
      <w:pPr>
        <w:spacing w:before="100" w:beforeAutospacing="1" w:after="1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настоящий момент методология процесса для хозяйствующих субъектов в Российской Федерации не разработана, в </w:t>
      </w:r>
      <w:proofErr w:type="gram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связи</w:t>
      </w:r>
      <w:proofErr w:type="gram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чем ФАС России в лице руководителя службы И.Ю. Артемьева было принято решение о необходимости создании первой кафедры антимонопольного </w:t>
      </w:r>
      <w:proofErr w:type="spell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комплаенса</w:t>
      </w:r>
      <w:proofErr w:type="spell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базе одного из высших учебных заведений. По совокупности ряда критерий, таких как профессорско-преподавательский состав, научно-исследовательская база,  опыт ведения сложных экономико-юридических проектов, в качестве опорного ВУЗа по направлению разработки методологии внедрения антимонопольного </w:t>
      </w:r>
      <w:proofErr w:type="spellStart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комплаенса</w:t>
      </w:r>
      <w:proofErr w:type="spellEnd"/>
      <w:r w:rsidRPr="00EC4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 выбран Санкт-Петербургский государственный экономический университет</w:t>
      </w:r>
      <w:r w:rsidR="00473A8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sectPr w:rsidR="001064C7" w:rsidRPr="00D0486C" w:rsidSect="00DE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4743"/>
    <w:rsid w:val="000420E9"/>
    <w:rsid w:val="001064C7"/>
    <w:rsid w:val="00473A87"/>
    <w:rsid w:val="008C2E49"/>
    <w:rsid w:val="008F028A"/>
    <w:rsid w:val="00C931D4"/>
    <w:rsid w:val="00D0486C"/>
    <w:rsid w:val="00DE6D15"/>
    <w:rsid w:val="00EC4743"/>
    <w:rsid w:val="00F8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47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7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4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7A83C98549155364585DE2E8735DA541FA76A153EB1D3038FB70B414CB19B5654BEB9546EvBF5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87A83C98549155364585DE2E8735DA541FA76A153EB1D3038FB70B414CB19B5654BEB8546BvBFEO" TargetMode="External"/><Relationship Id="rId12" Type="http://schemas.openxmlformats.org/officeDocument/2006/relationships/hyperlink" Target="consultantplus://offline/ref=5587A83C98549155364585DE2E8735DA541FA76A153EB1D3038FB70B414CB19B5654BEBB506DBD38v4F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7A83C98549155364585DE2E8735DA541FA76A153EB1D3038FB70B414CB19B5654BEBD536FvBF5O" TargetMode="External"/><Relationship Id="rId11" Type="http://schemas.openxmlformats.org/officeDocument/2006/relationships/hyperlink" Target="consultantplus://offline/ref=5587A83C98549155364585DE2E8735DA541FA76A153EB1D3038FB70B414CB19B5654BEB359v6FFO" TargetMode="External"/><Relationship Id="rId5" Type="http://schemas.openxmlformats.org/officeDocument/2006/relationships/hyperlink" Target="consultantplus://offline/ref=5587A83C98549155364585DE2E8735DA541FA76A153EB1D3038FB70B414CB19B5654BEB357v6FBO" TargetMode="External"/><Relationship Id="rId10" Type="http://schemas.openxmlformats.org/officeDocument/2006/relationships/hyperlink" Target="consultantplus://offline/ref=5587A83C98549155364585DE2E8735DA541FA76A153EB1D3038FB70B414CB19B5654BEB358v6F7O" TargetMode="External"/><Relationship Id="rId4" Type="http://schemas.openxmlformats.org/officeDocument/2006/relationships/hyperlink" Target="consultantplus://offline/ref=5587A83C98549155364585DE2E8735DA541FA76A153EB1D3038FB70B414CB19B5654BEB95366vBFEO" TargetMode="External"/><Relationship Id="rId9" Type="http://schemas.openxmlformats.org/officeDocument/2006/relationships/hyperlink" Target="consultantplus://offline/ref=5587A83C98549155364585DE2E8735DA541FA76A153EB1D3038FB70B414CB19B5654BEB358v6F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 Виктор Анатольевич</dc:creator>
  <cp:keywords/>
  <dc:description/>
  <cp:lastModifiedBy>to39-shevchenko</cp:lastModifiedBy>
  <cp:revision>5</cp:revision>
  <cp:lastPrinted>2018-09-26T16:33:00Z</cp:lastPrinted>
  <dcterms:created xsi:type="dcterms:W3CDTF">2018-09-26T10:06:00Z</dcterms:created>
  <dcterms:modified xsi:type="dcterms:W3CDTF">2018-12-06T13:39:00Z</dcterms:modified>
</cp:coreProperties>
</file>