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20" w:rsidRPr="00B43134" w:rsidRDefault="00FA5C20" w:rsidP="00FA5C20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134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:rsidR="00FA5C20" w:rsidRPr="000A5A73" w:rsidRDefault="00FA5C20" w:rsidP="00FA5C20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134">
        <w:rPr>
          <w:rFonts w:ascii="Times New Roman" w:eastAsia="Calibri" w:hAnsi="Times New Roman" w:cs="Times New Roman"/>
          <w:b/>
          <w:sz w:val="28"/>
          <w:szCs w:val="28"/>
        </w:rPr>
        <w:t>"КАЛИНИНГРАДСТРОЙПОСТАВКА"</w:t>
      </w:r>
    </w:p>
    <w:p w:rsidR="00FA5C20" w:rsidRDefault="00FA5C20" w:rsidP="00FA5C20">
      <w:pPr>
        <w:spacing w:after="0" w:line="240" w:lineRule="auto"/>
        <w:ind w:left="4956"/>
        <w:rPr>
          <w:rFonts w:ascii="Times New Roman" w:eastAsia="Calibri" w:hAnsi="Times New Roman" w:cs="Times New Roman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659"/>
      </w:tblGrid>
      <w:tr w:rsidR="0046245A" w:rsidRPr="0046245A" w:rsidTr="004C293A">
        <w:tc>
          <w:tcPr>
            <w:tcW w:w="4253" w:type="dxa"/>
          </w:tcPr>
          <w:p w:rsidR="0046245A" w:rsidRPr="002646C1" w:rsidRDefault="0046245A" w:rsidP="00FA5C2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6245A" w:rsidRDefault="0046245A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</w:tcPr>
          <w:p w:rsidR="0046245A" w:rsidRPr="00FF0041" w:rsidRDefault="0046245A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0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антимонопольной службы по Калининградской области</w:t>
            </w:r>
          </w:p>
          <w:p w:rsidR="0046245A" w:rsidRPr="00FF0041" w:rsidRDefault="0046245A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6245A" w:rsidRPr="00FF0041" w:rsidRDefault="0046245A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0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236006, г. Калининград, ул. Барнаульская, д. 4, бокс № 033</w:t>
            </w:r>
          </w:p>
          <w:p w:rsidR="0046245A" w:rsidRPr="00FF0041" w:rsidRDefault="0046245A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0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тел. (4012) 53-72-01, факс (4012) 53-72-00</w:t>
            </w:r>
          </w:p>
          <w:p w:rsidR="0046245A" w:rsidRPr="00FF0041" w:rsidRDefault="0046245A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F00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="00A47DF4" w:rsidRPr="00FF0041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to39@fas.gov.ru</w:t>
              </w:r>
            </w:hyperlink>
          </w:p>
          <w:p w:rsidR="00A47DF4" w:rsidRPr="00FF0041" w:rsidRDefault="00A47DF4" w:rsidP="0046245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46245A" w:rsidRPr="00B41504" w:rsidTr="004C293A">
        <w:tc>
          <w:tcPr>
            <w:tcW w:w="4253" w:type="dxa"/>
          </w:tcPr>
          <w:p w:rsidR="00FA5C20" w:rsidRDefault="0046245A" w:rsidP="0046245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0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Заявитель:</w:t>
            </w:r>
            <w:r w:rsidR="00FA5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5C20" w:rsidRDefault="00FA5C20" w:rsidP="00FA5C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5C20" w:rsidRDefault="00FA5C20" w:rsidP="00FA5C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245A" w:rsidRPr="009702A2" w:rsidRDefault="00FA5C20" w:rsidP="00FA5C2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«06</w:t>
            </w:r>
            <w:r w:rsidRPr="00264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мая</w:t>
            </w:r>
            <w:r w:rsidRPr="00264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264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    </w:t>
            </w:r>
            <w:r w:rsidR="0046245A" w:rsidRPr="00970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59" w:type="dxa"/>
          </w:tcPr>
          <w:p w:rsidR="00FA5C20" w:rsidRDefault="00FA5C20" w:rsidP="00054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«КалининградСтройПоставка» </w:t>
            </w:r>
          </w:p>
          <w:p w:rsidR="00054613" w:rsidRPr="00FF0041" w:rsidRDefault="00054613" w:rsidP="000546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0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(Участник закупки)</w:t>
            </w:r>
          </w:p>
          <w:p w:rsidR="00054613" w:rsidRPr="00FF0041" w:rsidRDefault="00054613" w:rsidP="00054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="00FA5C20" w:rsidRPr="00F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3906232503</w:t>
            </w:r>
            <w:r w:rsidRPr="00FF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КПП </w:t>
            </w:r>
            <w:r w:rsidR="00FA5C20" w:rsidRPr="00F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390601001</w:t>
            </w:r>
          </w:p>
          <w:p w:rsidR="00054613" w:rsidRPr="00FF0041" w:rsidRDefault="00FA5C20" w:rsidP="00054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</w:t>
            </w:r>
            <w:r w:rsidR="00054613" w:rsidRPr="00FF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иректор: </w:t>
            </w:r>
          </w:p>
          <w:p w:rsidR="00FA5C20" w:rsidRDefault="00FA5C20" w:rsidP="00054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Генцелев Алексей Николаевич</w:t>
            </w:r>
          </w:p>
          <w:p w:rsidR="00054613" w:rsidRPr="00FF0041" w:rsidRDefault="00054613" w:rsidP="00054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(совпадает с почтовым адресом):</w:t>
            </w:r>
          </w:p>
          <w:p w:rsidR="00FA5C20" w:rsidRDefault="00FA5C20" w:rsidP="00054613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236016, КАЛИНИНГРАДСКАЯ ОБЛАСТЬ, ГОРОД КАЛИНИНГРАД, УЛИЦА АРТИЛЛЕРИЙСКАЯ, 25, 58</w:t>
            </w:r>
          </w:p>
          <w:p w:rsidR="00FA5C20" w:rsidRPr="00FA5C20" w:rsidRDefault="00FA5C20" w:rsidP="00054613">
            <w:pPr>
              <w:keepNext/>
              <w:keepLines/>
              <w:rPr>
                <w:rFonts w:ascii="Times New Roman" w:eastAsia="Times New Roman" w:hAnsi="Times New Roman" w:cs="Times New Roman"/>
                <w:color w:val="0563C1" w:themeColor="hyperlink"/>
                <w:sz w:val="20"/>
                <w:szCs w:val="20"/>
                <w:u w:val="single"/>
                <w:lang w:val="en-US" w:eastAsia="ru-RU"/>
              </w:rPr>
            </w:pPr>
            <w:r w:rsidRPr="00FF00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e-mail: </w:t>
            </w:r>
            <w:r w:rsidR="002F41AC" w:rsidRPr="002F41AC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kspostavka2020@mail.ru</w:t>
            </w:r>
          </w:p>
          <w:p w:rsidR="00054613" w:rsidRPr="00FA5C20" w:rsidRDefault="00054613" w:rsidP="00054613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F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FA5C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1D0D6E" w:rsidRPr="001D0D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+79062327221, </w:t>
            </w:r>
            <w:r w:rsidR="00FA5C20" w:rsidRPr="00FA5C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+79114744053</w:t>
            </w:r>
          </w:p>
          <w:p w:rsidR="00054613" w:rsidRPr="00FF0041" w:rsidRDefault="00054613" w:rsidP="00054613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нет</w:t>
            </w:r>
          </w:p>
          <w:p w:rsidR="00986B09" w:rsidRPr="00FF0041" w:rsidRDefault="00986B09" w:rsidP="00B41504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6245A" w:rsidRPr="0046245A" w:rsidTr="004C293A">
        <w:tc>
          <w:tcPr>
            <w:tcW w:w="4253" w:type="dxa"/>
          </w:tcPr>
          <w:p w:rsidR="0046245A" w:rsidRPr="0046245A" w:rsidRDefault="0061336E" w:rsidP="0046245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  <w:r w:rsidR="0046245A" w:rsidRPr="00462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59" w:type="dxa"/>
          </w:tcPr>
          <w:p w:rsidR="00054613" w:rsidRPr="00FF0041" w:rsidRDefault="00054613" w:rsidP="000546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46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Заказчик – ОАО «РЖД»</w:t>
            </w:r>
          </w:p>
          <w:p w:rsidR="00054613" w:rsidRPr="00FF0041" w:rsidRDefault="00054613" w:rsidP="0005461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00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Местонахождение (совпадает с почтовым адресом): 107174, Россия, г. Москва, ул. Новая Басманная, д.2 ИНН 7708503727, КПП 997650001</w:t>
            </w:r>
            <w:r w:rsidR="00FF0041" w:rsidRPr="00FF004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FF00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fax@css.rzd.ru</w:t>
            </w:r>
            <w:r w:rsidRPr="00FF0041">
              <w:rPr>
                <w:sz w:val="20"/>
                <w:szCs w:val="20"/>
              </w:rPr>
              <w:t xml:space="preserve"> </w:t>
            </w:r>
          </w:p>
          <w:p w:rsidR="00054613" w:rsidRPr="00FF0041" w:rsidRDefault="00054613" w:rsidP="0005461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00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 +7 (499) 262-99-01, факс +7 (499) 262-90-95</w:t>
            </w:r>
          </w:p>
          <w:p w:rsidR="00054613" w:rsidRPr="00054613" w:rsidRDefault="00054613" w:rsidP="0005461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54613" w:rsidRPr="00054613" w:rsidRDefault="00054613" w:rsidP="00054613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546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Закупка осуществляется для нужд </w:t>
            </w:r>
            <w:r w:rsidR="00B9288D" w:rsidRPr="00B9288D">
              <w:rPr>
                <w:rFonts w:ascii="Times New Roman" w:eastAsia="Calibri" w:hAnsi="Times New Roman" w:cs="Times New Roman"/>
                <w:sz w:val="20"/>
                <w:szCs w:val="20"/>
              </w:rPr>
              <w:t>Калининградская дирекция снабжения – структурное подразделение Центральной дирекции закупок и снабжения - филиала ОАО "РЖД"</w:t>
            </w:r>
            <w:r w:rsidRPr="0005461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F00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54613" w:rsidRPr="00054613" w:rsidRDefault="00054613" w:rsidP="00054613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546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Место нахождения заказчика: </w:t>
            </w:r>
            <w:r w:rsidRPr="000546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236039, г. Калининград, ул. Киевская, 3а.</w:t>
            </w:r>
          </w:p>
          <w:p w:rsidR="00054613" w:rsidRPr="00054613" w:rsidRDefault="00054613" w:rsidP="00054613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546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Почтовый адрес заказчика: </w:t>
            </w:r>
            <w:r w:rsidRPr="000546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236039, г. Калининград, ул. Киевская, 3а.</w:t>
            </w:r>
          </w:p>
          <w:p w:rsidR="00054613" w:rsidRPr="00054613" w:rsidRDefault="00054613" w:rsidP="000546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46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Контактные данные:</w:t>
            </w:r>
          </w:p>
          <w:p w:rsidR="00B9288D" w:rsidRDefault="00054613" w:rsidP="0005461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46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Контактное лицо:</w:t>
            </w:r>
            <w:r w:rsidR="00B9288D" w:rsidRPr="00B9288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B9288D" w:rsidRPr="00B928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Ведущий специалист по закупкам Садовой Сергей Васильевич</w:t>
            </w:r>
            <w:r w:rsidR="00B9288D" w:rsidRPr="00B928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54613" w:rsidRPr="00054613" w:rsidRDefault="00054613" w:rsidP="00054613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546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электронной почты:</w:t>
            </w:r>
            <w:r w:rsidRPr="00054613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0546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SSADOVOI@klgdzd.ru</w:t>
            </w:r>
          </w:p>
          <w:p w:rsidR="0046245A" w:rsidRPr="00FF0041" w:rsidRDefault="00054613" w:rsidP="0005461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00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Номер телефона:</w:t>
            </w:r>
            <w:r w:rsidRPr="00FF004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9C50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+7 (4012) 586341</w:t>
            </w:r>
          </w:p>
        </w:tc>
      </w:tr>
    </w:tbl>
    <w:p w:rsidR="0046245A" w:rsidRPr="0046245A" w:rsidRDefault="0046245A" w:rsidP="002221CD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21CD" w:rsidRDefault="00536BCB" w:rsidP="0022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Жалоба на действия </w:t>
      </w:r>
      <w:r w:rsidR="0029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экспертной группы (комиссии)</w:t>
      </w:r>
      <w:r w:rsidR="00B9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</w:p>
    <w:p w:rsidR="002844E8" w:rsidRDefault="002844E8" w:rsidP="0022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4E8" w:rsidRDefault="002844E8" w:rsidP="00E8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на обжалуемые торги:</w:t>
      </w:r>
    </w:p>
    <w:p w:rsidR="002844E8" w:rsidRDefault="00B9288D" w:rsidP="00FF0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аукцион среди субъектов малого и среднего предпринимательства в электронной форме № 1099/ОАЭ-ЦДЗС/20 на право заключения договора выполнения работ по демонтажу здания </w:t>
      </w:r>
      <w:r w:rsidR="00650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FF004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06164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Закупка</w:t>
      </w:r>
      <w:r w:rsidR="00650B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4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4E8" w:rsidRDefault="002844E8" w:rsidP="0006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звещение о закупке № </w:t>
      </w:r>
      <w:r w:rsidR="00B9288D" w:rsidRPr="00B9288D">
        <w:rPr>
          <w:rFonts w:ascii="Times New Roman" w:eastAsia="Times New Roman" w:hAnsi="Times New Roman" w:cs="Times New Roman"/>
          <w:sz w:val="24"/>
          <w:szCs w:val="24"/>
          <w:lang w:eastAsia="ru-RU"/>
        </w:rPr>
        <w:t>32008980939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опубликовано на официальном сайте Единой информационной системы в сфере закупок (</w:t>
      </w:r>
      <w:hyperlink r:id="rId8" w:history="1">
        <w:r w:rsidR="00B9288D" w:rsidRPr="004B32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http://zakupki.gov.ru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9288D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4E8" w:rsidRDefault="00E82AF9" w:rsidP="00061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площадки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F0041" w:rsidRPr="00FF0041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http://www.rts-tender.ru</w:t>
      </w:r>
      <w:r w:rsidR="00FF0041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041" w:rsidRDefault="00FF0041" w:rsidP="005F2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041" w:rsidRDefault="00650BA7" w:rsidP="00FF0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Указание на обжалуемые действия </w:t>
      </w:r>
      <w:r w:rsidR="001F1BAE" w:rsidRPr="001F1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экспертной группы (комиссии) заказчика</w:t>
      </w:r>
      <w:r w:rsidR="00FF0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1405" w:rsidRPr="005F2B4C" w:rsidRDefault="007E4E10" w:rsidP="00FF0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B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</w:t>
      </w:r>
      <w:r w:rsidR="00296A44" w:rsidRPr="00296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КалининградСтройПоставка</w:t>
      </w:r>
      <w:r w:rsidRPr="005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AD12E1" w:rsidRPr="005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Участник </w:t>
      </w:r>
      <w:r w:rsidR="00A91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="00AD12E1" w:rsidRPr="005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108C2" w:rsidRPr="005F2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принимало участие в </w:t>
      </w:r>
      <w:r w:rsidR="00FF004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="00843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(заявка №10).</w:t>
      </w:r>
      <w:bookmarkStart w:id="0" w:name="_GoBack"/>
      <w:bookmarkEnd w:id="0"/>
    </w:p>
    <w:p w:rsidR="004108C2" w:rsidRDefault="004108C2" w:rsidP="00D71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6A4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96A4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результатам рассмотрения </w:t>
      </w:r>
      <w:r w:rsidR="00296A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части</w:t>
      </w:r>
      <w:r w:rsidR="00FF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Участника </w:t>
      </w:r>
      <w:r w:rsidR="00FF004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такая заявка была отклонена </w:t>
      </w:r>
      <w:r w:rsidR="00D710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группой заказчика со следующим обоснованием принятого решения (</w:t>
      </w:r>
      <w:r w:rsidR="00D7102D" w:rsidRPr="00D7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вторых частей заявок, поступивших для участия в открытом аукционе в электронной форме, участниками которого могут быть </w:t>
      </w:r>
      <w:r w:rsidR="00D7102D" w:rsidRPr="00D710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исключительно субъекты малого и среднего предпринимательства</w:t>
      </w:r>
      <w:r w:rsidR="00D7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02D" w:rsidRPr="00D7102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1099/ОАЭ-ЦДЗС/20 на право заключения договора выполнения работ по демонтажу здания</w:t>
      </w:r>
      <w:r w:rsidR="00D7102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7102D" w:rsidRPr="00D7102D" w:rsidRDefault="00D7102D" w:rsidP="00D71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0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Участнику № 10 на основании пункта 3.7.5 документации о закупке в связи с представлением документов, предусмотренных пунктом 1.7.1. документации о закупке, содержащих информацию несоответствующую действительности, а именно документы, представленные в подтверждение опыта фактически выполненных работ, содержат недостоверную информацию по факту выполнения работ участником.</w:t>
      </w:r>
    </w:p>
    <w:p w:rsidR="00D7102D" w:rsidRPr="00D7102D" w:rsidRDefault="00D7102D" w:rsidP="00D71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0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Так, участником № 10 представлены копии договора б/н от 10.11. 2019г., акта о приемки выполненных работ от 26.12.2019 г на сумму 1 770 436 руб. (без НДС) по демонтажу 2 башенных складов, расположенных в локомотивном депо Вязьма сортировочное ТЧЭ-41. Указанные объекты принадлежат ОАО «РЖД», договор заключен на демонтаж с ООО «ЕвроКомфорт» (ИНН 7716857222), стоимость работ составляет 4 380 461, 26 руб. (с НДС), привлечение 3 лиц к работам не согласовывалось, до настоящего времени договор не исполнен.</w:t>
      </w:r>
    </w:p>
    <w:p w:rsidR="00D7102D" w:rsidRDefault="00D7102D" w:rsidP="00D71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2F" w:rsidRDefault="004108C2" w:rsidP="00922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 отклонение </w:t>
      </w:r>
      <w:r w:rsidR="00A9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Участника </w:t>
      </w:r>
      <w:r w:rsidR="00A91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неправомерным, такие </w:t>
      </w:r>
      <w:r w:rsidRPr="004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A9141D" w:rsidRPr="00A9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группы (комиссии) заказчика </w:t>
      </w:r>
      <w:r w:rsidRPr="004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нарушают права и законные интересы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 </w:t>
      </w:r>
      <w:r w:rsidR="00A91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основаниям.</w:t>
      </w:r>
    </w:p>
    <w:p w:rsidR="003C70F9" w:rsidRDefault="00922E2F" w:rsidP="00922E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1 и</w:t>
      </w:r>
      <w:r w:rsidRPr="009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части 1 статьи 3 Федерального закона от 18.07.2011 N 223-ФЗ "О закупках товаров, работ, услуг отдельными видами юридических лиц"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Закон о закупках) </w:t>
      </w:r>
      <w:r w:rsidRPr="00922E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 руководствуются, в том числе принципом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3C70F9" w:rsidRDefault="00481D5F" w:rsidP="00481D5F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2,</w:t>
      </w:r>
      <w:r w:rsidRPr="00481D5F">
        <w:rPr>
          <w:rFonts w:ascii="Times New Roman" w:eastAsia="Times New Roman" w:hAnsi="Times New Roman" w:cs="Times New Roman"/>
          <w:sz w:val="24"/>
          <w:szCs w:val="24"/>
          <w:lang w:eastAsia="ru-RU"/>
        </w:rPr>
        <w:t>9 части 10 статьи 4 Закона о закупках в документации о закупке должны быть указаны требования к участникам закупки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содержанию, форме, оформлению и составу заявки на участие в закупке.</w:t>
      </w:r>
    </w:p>
    <w:p w:rsidR="00481D5F" w:rsidRPr="00481D5F" w:rsidRDefault="00481D5F" w:rsidP="00481D5F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1.7.1. Аукционной документации к участникам Аукциона были предъявлены </w:t>
      </w:r>
      <w:r w:rsidRPr="00481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квалификационные требования:</w:t>
      </w:r>
    </w:p>
    <w:p w:rsidR="00481D5F" w:rsidRPr="00481D5F" w:rsidRDefault="00481D5F" w:rsidP="00C9454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Участник должен иметь опыт по фактически выполненным работам демонтажа и/или капитального ремонта и/или реконструкции и/или строительства зданий и сооружений, стоимость которых составляет не менее 20% (двадцати процентов) начальной (максимальной) цены договора (цены лота) без учета НДС, установленной в Техническом задании приложении № 1.1 аукционной документации. При этом учитывается стоимость всех выполненных участником закупки (с учетом правопреемственности) работ по капитальному ремонту и/или реконструкции и/или строительству зданий и сооружений. В случае участия в закупке нескольких лиц на стороне одного участника, соответствие квалификационному требованию рассматривается в совокупности на основании информации, представленной в отношении лиц, выступающих на стороне участника.</w:t>
      </w:r>
    </w:p>
    <w:p w:rsidR="00481D5F" w:rsidRPr="00481D5F" w:rsidRDefault="00481D5F" w:rsidP="00C9454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подтверждение опыта выполнения работ участник в составе заявки представляет:</w:t>
      </w:r>
    </w:p>
    <w:p w:rsidR="00481D5F" w:rsidRPr="00481D5F" w:rsidRDefault="00481D5F" w:rsidP="00C9454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документ подготовленный в соответствии с Формой сведений об опыте выполнения работ представленной в приложении № 1.3 аукционной документации о наличии требуемого опыта;</w:t>
      </w:r>
    </w:p>
    <w:p w:rsidR="00481D5F" w:rsidRPr="00481D5F" w:rsidRDefault="00481D5F" w:rsidP="00C9454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</w:p>
    <w:p w:rsidR="00481D5F" w:rsidRPr="00481D5F" w:rsidRDefault="00481D5F" w:rsidP="00C9454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акты о выполнении работ;</w:t>
      </w:r>
    </w:p>
    <w:p w:rsidR="00481D5F" w:rsidRPr="00481D5F" w:rsidRDefault="00481D5F" w:rsidP="00C9454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</w:p>
    <w:p w:rsidR="00481D5F" w:rsidRPr="00481D5F" w:rsidRDefault="00481D5F" w:rsidP="00C9454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договоры на выполнение работ (представляются все листы договоров со всеми приложениями);</w:t>
      </w:r>
    </w:p>
    <w:p w:rsidR="00D7102D" w:rsidRPr="00481D5F" w:rsidRDefault="00481D5F" w:rsidP="00C9454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D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копии документов, подтверждающих правопреемство в случае предоставления в подтверждение опыта договоров, заключаемых иными лицами, не являющимися участниками закупки (договор о правопреемстве организации, передаточный акт и др.).</w:t>
      </w:r>
    </w:p>
    <w:p w:rsidR="00D7102D" w:rsidRDefault="00D7102D" w:rsidP="00C9454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02D" w:rsidRDefault="00C94541" w:rsidP="00C94541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подтверждения соответствия данным квалификационным требованиям Участником аукциона были представлены </w:t>
      </w:r>
      <w:r w:rsidRPr="00C94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запрашиваемые Заказчиком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C94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выполнение работ № б/н от 10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оября 2019 года (с </w:t>
      </w:r>
      <w:r w:rsidRPr="00C94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4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к Договору (техническое задание)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C94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приемке выполненных работ за декабрь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02D" w:rsidRDefault="00E624D5" w:rsidP="003C70F9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Указанный договор являлся договором субподряда, который был заключен с генеральным подрядчиком – ООО «ЕвроКомфорт» (ИНН 7706092528).</w:t>
      </w:r>
    </w:p>
    <w:p w:rsidR="000B2216" w:rsidRDefault="000B2216" w:rsidP="003C70F9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выполнения работ по договору субподряда </w:t>
      </w:r>
      <w:r w:rsidRPr="000B2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«ЕвроКомфорт»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отрицается, объем выполненных работ и их стоимость подтверждается Актом</w:t>
      </w:r>
      <w:r w:rsidRPr="000B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приемке выполненных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AF2" w:rsidRDefault="008C7AF2" w:rsidP="003C70F9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комиссии Калининградского УФАС</w:t>
      </w:r>
      <w:r w:rsidR="00975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Участником аукциона выполнялись работы по демонтажу двух башенных </w:t>
      </w: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складов, расположенных в локомотивном депо Вязьма сортировочное ТЧЭ-41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AF2" w:rsidRPr="00073143" w:rsidRDefault="008C7AF2" w:rsidP="008C7AF2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1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работы были исполнены Участником аукциона в полном объеме и надлежащего качества.</w:t>
      </w:r>
    </w:p>
    <w:p w:rsidR="008C7AF2" w:rsidRPr="00073143" w:rsidRDefault="00073143" w:rsidP="003C70F9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протоколе рассмотрения вторых частей заявок не указано в какой части до</w:t>
      </w:r>
      <w:r w:rsidR="009E1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 подряда ООО «ЕвроКомфорт», заключенный с ОАО «РЖД», </w:t>
      </w:r>
      <w:r w:rsidRPr="00073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исполнен, также не указано, что он не исполнен именно в той части работ, на которые Участником аукциона представлен Акт о приемке выполненных работ.</w:t>
      </w:r>
    </w:p>
    <w:p w:rsidR="000B2216" w:rsidRDefault="001F1231" w:rsidP="003C70F9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706 Гражданского кодекса Российской Федерации</w:t>
      </w:r>
      <w:r w:rsidR="000A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ГК РФ)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Pr="001F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из закона или договора подряда не вытекает обязанность подрядчика выполнить предусмотренную в договоре работу лично, </w:t>
      </w:r>
      <w:r w:rsidRPr="001F1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 вправе</w:t>
      </w:r>
      <w:r w:rsidRPr="001F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привлечь к исполнению своих обязательств других лиц (субподрядчиков). В этом случае подрядчик выступает в роли генерального подрядчика.</w:t>
      </w:r>
    </w:p>
    <w:p w:rsidR="001F1231" w:rsidRDefault="001F1231" w:rsidP="008C7AF2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ООО «ЕвроКомфорт» своих обязательств по сделке (основному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подряда)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(неисполнение договора подряда в полном объеме и не уведомление заказчика о привлечении 3-их лиц к работам по договору подряда)</w:t>
      </w:r>
      <w:r w:rsidRPr="00DF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служить основанием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недействительной другой сделки, заключенной в соответствии с законом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требований, предъявляемых к договорам такого вида.</w:t>
      </w:r>
    </w:p>
    <w:p w:rsidR="00FA1329" w:rsidRDefault="00FA1329" w:rsidP="008C7AF2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Отмечаем, что работы, выполненные Участником аукциона и принятые </w:t>
      </w:r>
      <w:r w:rsidRPr="00FA1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«ЕвроКомфорт»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последним до сегодняшнего дня не оплачены.</w:t>
      </w:r>
    </w:p>
    <w:p w:rsidR="000B2216" w:rsidRDefault="008C7AF2" w:rsidP="008C7AF2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</w:t>
      </w: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письма Президиума ВАС РФ от 24.01.2000 г. №54 «Обзор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споров по договору строительного подряда» предусмотрено, что оплата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подрядчиком выполненных субподрядчиком работ должна производиться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оплаты работ заказчиком генеральному подрядчику.</w:t>
      </w:r>
    </w:p>
    <w:p w:rsidR="008C7AF2" w:rsidRDefault="000A7296" w:rsidP="008C7AF2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3 статьи 706 ГК РФ установлено, что </w:t>
      </w:r>
      <w:r w:rsidRPr="000A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подрядчик несет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субподрядчиком </w:t>
      </w:r>
      <w:r w:rsidRPr="000A7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неисполнение или ненадлежащее исполнение заказчиком обязательств по договору подряда.</w:t>
      </w:r>
    </w:p>
    <w:p w:rsidR="000A7296" w:rsidRDefault="007D67BE" w:rsidP="008C7AF2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нормы законодательства России еще раз доказывают, что все обязательства и ответственность перед заказчиком несет генеральный подрядчик, а не Участник закупки, выступающий субподрядчиком.</w:t>
      </w:r>
    </w:p>
    <w:p w:rsidR="00D7102D" w:rsidRDefault="00D7102D" w:rsidP="003C70F9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0F9" w:rsidRDefault="003C70F9" w:rsidP="003C70F9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частью 10 статьи 3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июля 2011 года № 223-ФЗ «О закупках товаров, работ, услуг отд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ельными видами юридических лиц» и статьей 18.1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26 июля 2006 года N 135-ФЗ "О защите конкуренции"</w:t>
      </w:r>
    </w:p>
    <w:p w:rsidR="003C70F9" w:rsidRDefault="003C70F9" w:rsidP="003C70F9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0F9" w:rsidRDefault="003C70F9" w:rsidP="003C70F9">
      <w:pPr>
        <w:pStyle w:val="a9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</w:t>
      </w:r>
    </w:p>
    <w:p w:rsidR="003C70F9" w:rsidRDefault="003C70F9" w:rsidP="003C70F9">
      <w:pPr>
        <w:pStyle w:val="a9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346" w:rsidRDefault="00021346" w:rsidP="00021346">
      <w:pPr>
        <w:numPr>
          <w:ilvl w:val="0"/>
          <w:numId w:val="25"/>
        </w:numPr>
        <w:ind w:left="0" w:firstLine="426"/>
        <w:contextualSpacing/>
        <w:jc w:val="both"/>
        <w:rPr>
          <w:rFonts w:ascii="Times New Roman" w:hAnsi="Times New Roman" w:cs="Times New Roman"/>
        </w:rPr>
      </w:pPr>
      <w:r w:rsidRPr="00021346">
        <w:rPr>
          <w:rFonts w:ascii="Times New Roman" w:hAnsi="Times New Roman" w:cs="Times New Roman"/>
        </w:rPr>
        <w:t>Рассмотреть настоящую жалобу по существу в порядке и сроки, установленные действующим законодательством Российской Федерации.</w:t>
      </w:r>
    </w:p>
    <w:p w:rsidR="009E1D0D" w:rsidRPr="00021346" w:rsidRDefault="009E1D0D" w:rsidP="00021346">
      <w:pPr>
        <w:numPr>
          <w:ilvl w:val="0"/>
          <w:numId w:val="25"/>
        </w:numPr>
        <w:ind w:left="0"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заказчику обязательное для исполнени</w:t>
      </w:r>
      <w:r w:rsidR="00327F1D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предписание.</w:t>
      </w:r>
    </w:p>
    <w:p w:rsidR="00021346" w:rsidRPr="00021346" w:rsidRDefault="00021346" w:rsidP="00D7102D">
      <w:pPr>
        <w:contextualSpacing/>
        <w:jc w:val="both"/>
        <w:rPr>
          <w:rFonts w:ascii="Times New Roman" w:hAnsi="Times New Roman" w:cs="Times New Roman"/>
        </w:rPr>
      </w:pPr>
    </w:p>
    <w:p w:rsidR="00EF54A3" w:rsidRDefault="00EF54A3" w:rsidP="00E8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405" w:rsidRDefault="00E81405" w:rsidP="00E8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прилагаемых документов:</w:t>
      </w:r>
    </w:p>
    <w:p w:rsidR="00E81405" w:rsidRDefault="00E81405" w:rsidP="00E82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405" w:rsidRDefault="00AD12E1" w:rsidP="00AD12E1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полномочия лица, подписавшего </w:t>
      </w:r>
      <w:r w:rsidR="00327F1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r w:rsidR="003F05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 w:rsidR="003F05B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7102D" w:rsidRDefault="00D7102D" w:rsidP="00AD12E1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выполнение работ № б/н от 10 ноября 2019 года – на 18 листах,</w:t>
      </w:r>
    </w:p>
    <w:p w:rsidR="00D7102D" w:rsidRDefault="00D7102D" w:rsidP="00AD12E1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Договору (техническое задание) – на 6 листах,</w:t>
      </w:r>
    </w:p>
    <w:p w:rsidR="00D7102D" w:rsidRDefault="00D7102D" w:rsidP="00AD12E1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приемке выполненных работ за декабрь 2019 года – на 6 листах.</w:t>
      </w:r>
    </w:p>
    <w:p w:rsidR="00E82AF9" w:rsidRPr="002844E8" w:rsidRDefault="00E82AF9" w:rsidP="0028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02D" w:rsidRDefault="00D7102D" w:rsidP="00D71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sectPr w:rsidR="00D7102D" w:rsidSect="009E1D0D">
          <w:pgSz w:w="11907" w:h="16840" w:code="9"/>
          <w:pgMar w:top="851" w:right="567" w:bottom="709" w:left="1418" w:header="567" w:footer="567" w:gutter="0"/>
          <w:cols w:space="708"/>
          <w:docGrid w:linePitch="360"/>
        </w:sectPr>
      </w:pPr>
      <w:r w:rsidRPr="00D7102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Генеральный д</w:t>
      </w:r>
      <w:r w:rsidR="00E81405" w:rsidRPr="00D7102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иректор                 </w:t>
      </w:r>
      <w:r w:rsidRPr="00D7102D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п</w:t>
      </w:r>
      <w:r w:rsidRPr="00D710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одписано ЭП</w:t>
      </w:r>
      <w:r w:rsidRPr="00D7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7102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Генцелев А.Н.</w:t>
      </w:r>
    </w:p>
    <w:p w:rsidR="00E81405" w:rsidRPr="00D7102D" w:rsidRDefault="00D7102D" w:rsidP="00D71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D7102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lastRenderedPageBreak/>
        <w:t>Приложение №1</w:t>
      </w:r>
    </w:p>
    <w:p w:rsidR="00D7102D" w:rsidRPr="00BE68E5" w:rsidRDefault="00D710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62600" cy="684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02D" w:rsidRPr="00BE68E5" w:rsidSect="00D7102D">
      <w:pgSz w:w="11907" w:h="16840" w:code="9"/>
      <w:pgMar w:top="851" w:right="567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79" w:rsidRDefault="00DA6179">
      <w:pPr>
        <w:spacing w:after="0" w:line="240" w:lineRule="auto"/>
      </w:pPr>
      <w:r>
        <w:separator/>
      </w:r>
    </w:p>
  </w:endnote>
  <w:endnote w:type="continuationSeparator" w:id="0">
    <w:p w:rsidR="00DA6179" w:rsidRDefault="00DA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79" w:rsidRDefault="00DA6179">
      <w:pPr>
        <w:spacing w:after="0" w:line="240" w:lineRule="auto"/>
      </w:pPr>
      <w:r>
        <w:separator/>
      </w:r>
    </w:p>
  </w:footnote>
  <w:footnote w:type="continuationSeparator" w:id="0">
    <w:p w:rsidR="00DA6179" w:rsidRDefault="00DA6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D6034"/>
    <w:multiLevelType w:val="hybridMultilevel"/>
    <w:tmpl w:val="16C00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3128"/>
    <w:multiLevelType w:val="multilevel"/>
    <w:tmpl w:val="F6967E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D60225D"/>
    <w:multiLevelType w:val="hybridMultilevel"/>
    <w:tmpl w:val="20721D3C"/>
    <w:lvl w:ilvl="0" w:tplc="F38CF67A">
      <w:start w:val="1"/>
      <w:numFmt w:val="decimal"/>
      <w:lvlText w:val="%1."/>
      <w:lvlJc w:val="left"/>
      <w:pPr>
        <w:ind w:left="720" w:hanging="360"/>
      </w:pPr>
      <w:rPr>
        <w:rFonts w:ascii="Times New Roman" w:eastAsia="BatangChe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D1738"/>
    <w:multiLevelType w:val="hybridMultilevel"/>
    <w:tmpl w:val="8D36C118"/>
    <w:lvl w:ilvl="0" w:tplc="33407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65BA1"/>
    <w:multiLevelType w:val="hybridMultilevel"/>
    <w:tmpl w:val="124A123E"/>
    <w:lvl w:ilvl="0" w:tplc="E742965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3500AB0"/>
    <w:multiLevelType w:val="hybridMultilevel"/>
    <w:tmpl w:val="BCC2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863C5"/>
    <w:multiLevelType w:val="hybridMultilevel"/>
    <w:tmpl w:val="67BADFAA"/>
    <w:lvl w:ilvl="0" w:tplc="1A685D10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B57B6"/>
    <w:multiLevelType w:val="hybridMultilevel"/>
    <w:tmpl w:val="70C0FD34"/>
    <w:lvl w:ilvl="0" w:tplc="FFFFFFF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E3575"/>
    <w:multiLevelType w:val="hybridMultilevel"/>
    <w:tmpl w:val="A704DF02"/>
    <w:lvl w:ilvl="0" w:tplc="F656DF9A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5">
    <w:nsid w:val="57E65F60"/>
    <w:multiLevelType w:val="hybridMultilevel"/>
    <w:tmpl w:val="E2EC2B3A"/>
    <w:lvl w:ilvl="0" w:tplc="EE20ED8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B204652" w:tentative="1">
      <w:start w:val="1"/>
      <w:numFmt w:val="lowerLetter"/>
      <w:lvlText w:val="%2."/>
      <w:lvlJc w:val="left"/>
      <w:pPr>
        <w:ind w:left="1440" w:hanging="360"/>
      </w:pPr>
    </w:lvl>
    <w:lvl w:ilvl="2" w:tplc="05EEF70A" w:tentative="1">
      <w:start w:val="1"/>
      <w:numFmt w:val="lowerRoman"/>
      <w:lvlText w:val="%3."/>
      <w:lvlJc w:val="right"/>
      <w:pPr>
        <w:ind w:left="2160" w:hanging="180"/>
      </w:pPr>
    </w:lvl>
    <w:lvl w:ilvl="3" w:tplc="F9D85672" w:tentative="1">
      <w:start w:val="1"/>
      <w:numFmt w:val="decimal"/>
      <w:lvlText w:val="%4."/>
      <w:lvlJc w:val="left"/>
      <w:pPr>
        <w:ind w:left="2880" w:hanging="360"/>
      </w:pPr>
    </w:lvl>
    <w:lvl w:ilvl="4" w:tplc="E0420960" w:tentative="1">
      <w:start w:val="1"/>
      <w:numFmt w:val="lowerLetter"/>
      <w:lvlText w:val="%5."/>
      <w:lvlJc w:val="left"/>
      <w:pPr>
        <w:ind w:left="3600" w:hanging="360"/>
      </w:pPr>
    </w:lvl>
    <w:lvl w:ilvl="5" w:tplc="EA80C688" w:tentative="1">
      <w:start w:val="1"/>
      <w:numFmt w:val="lowerRoman"/>
      <w:lvlText w:val="%6."/>
      <w:lvlJc w:val="right"/>
      <w:pPr>
        <w:ind w:left="4320" w:hanging="180"/>
      </w:pPr>
    </w:lvl>
    <w:lvl w:ilvl="6" w:tplc="06B83706" w:tentative="1">
      <w:start w:val="1"/>
      <w:numFmt w:val="decimal"/>
      <w:lvlText w:val="%7."/>
      <w:lvlJc w:val="left"/>
      <w:pPr>
        <w:ind w:left="5040" w:hanging="360"/>
      </w:pPr>
    </w:lvl>
    <w:lvl w:ilvl="7" w:tplc="38A43E5A" w:tentative="1">
      <w:start w:val="1"/>
      <w:numFmt w:val="lowerLetter"/>
      <w:lvlText w:val="%8."/>
      <w:lvlJc w:val="left"/>
      <w:pPr>
        <w:ind w:left="5760" w:hanging="360"/>
      </w:pPr>
    </w:lvl>
    <w:lvl w:ilvl="8" w:tplc="963863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575E1"/>
    <w:multiLevelType w:val="hybridMultilevel"/>
    <w:tmpl w:val="C1F216C2"/>
    <w:lvl w:ilvl="0" w:tplc="392E1B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E7E59F6"/>
    <w:multiLevelType w:val="hybridMultilevel"/>
    <w:tmpl w:val="1408DF1E"/>
    <w:lvl w:ilvl="0" w:tplc="C4DA73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A57BCE"/>
    <w:multiLevelType w:val="hybridMultilevel"/>
    <w:tmpl w:val="B9F2E7BE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22">
    <w:nsid w:val="738E5FFD"/>
    <w:multiLevelType w:val="hybridMultilevel"/>
    <w:tmpl w:val="4E1CF524"/>
    <w:lvl w:ilvl="0" w:tplc="C88A12F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A3733C"/>
    <w:multiLevelType w:val="hybridMultilevel"/>
    <w:tmpl w:val="157CAEDE"/>
    <w:lvl w:ilvl="0" w:tplc="34283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367D25"/>
    <w:multiLevelType w:val="hybridMultilevel"/>
    <w:tmpl w:val="B010CA7A"/>
    <w:lvl w:ilvl="0" w:tplc="9ED010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EF008C4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DA420F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CBC9E7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2F663FE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5ED81D2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8C3E8DA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592EAB1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F727D1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9"/>
  </w:num>
  <w:num w:numId="5">
    <w:abstractNumId w:val="0"/>
  </w:num>
  <w:num w:numId="6">
    <w:abstractNumId w:val="19"/>
  </w:num>
  <w:num w:numId="7">
    <w:abstractNumId w:val="18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14"/>
  </w:num>
  <w:num w:numId="13">
    <w:abstractNumId w:val="3"/>
  </w:num>
  <w:num w:numId="14">
    <w:abstractNumId w:val="4"/>
  </w:num>
  <w:num w:numId="15">
    <w:abstractNumId w:val="20"/>
  </w:num>
  <w:num w:numId="16">
    <w:abstractNumId w:val="15"/>
  </w:num>
  <w:num w:numId="17">
    <w:abstractNumId w:val="23"/>
  </w:num>
  <w:num w:numId="18">
    <w:abstractNumId w:val="6"/>
  </w:num>
  <w:num w:numId="19">
    <w:abstractNumId w:val="12"/>
  </w:num>
  <w:num w:numId="20">
    <w:abstractNumId w:val="22"/>
  </w:num>
  <w:num w:numId="21">
    <w:abstractNumId w:val="2"/>
  </w:num>
  <w:num w:numId="22">
    <w:abstractNumId w:val="13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6C1"/>
    <w:rsid w:val="00021346"/>
    <w:rsid w:val="00054613"/>
    <w:rsid w:val="00061640"/>
    <w:rsid w:val="00073143"/>
    <w:rsid w:val="000A7296"/>
    <w:rsid w:val="000B2216"/>
    <w:rsid w:val="000C5EB7"/>
    <w:rsid w:val="00141E6B"/>
    <w:rsid w:val="001862E7"/>
    <w:rsid w:val="001D0D6E"/>
    <w:rsid w:val="001F1231"/>
    <w:rsid w:val="001F1BAE"/>
    <w:rsid w:val="002221CD"/>
    <w:rsid w:val="00256A9A"/>
    <w:rsid w:val="00263EF7"/>
    <w:rsid w:val="002643FA"/>
    <w:rsid w:val="002646C1"/>
    <w:rsid w:val="00265228"/>
    <w:rsid w:val="002660DB"/>
    <w:rsid w:val="002844E8"/>
    <w:rsid w:val="00296A44"/>
    <w:rsid w:val="002E4E84"/>
    <w:rsid w:val="002F41AC"/>
    <w:rsid w:val="002F5F8F"/>
    <w:rsid w:val="00327F1D"/>
    <w:rsid w:val="0034261A"/>
    <w:rsid w:val="00354CC4"/>
    <w:rsid w:val="00393D12"/>
    <w:rsid w:val="003C36AF"/>
    <w:rsid w:val="003C70F9"/>
    <w:rsid w:val="003F05BE"/>
    <w:rsid w:val="004108C2"/>
    <w:rsid w:val="004138AB"/>
    <w:rsid w:val="004231D5"/>
    <w:rsid w:val="00430618"/>
    <w:rsid w:val="004473FC"/>
    <w:rsid w:val="0045231E"/>
    <w:rsid w:val="0046245A"/>
    <w:rsid w:val="00481D5F"/>
    <w:rsid w:val="004915F9"/>
    <w:rsid w:val="004C293A"/>
    <w:rsid w:val="00536BCB"/>
    <w:rsid w:val="005A7166"/>
    <w:rsid w:val="005E2625"/>
    <w:rsid w:val="005F2B4C"/>
    <w:rsid w:val="00603E63"/>
    <w:rsid w:val="0061336E"/>
    <w:rsid w:val="00650BA7"/>
    <w:rsid w:val="006B240F"/>
    <w:rsid w:val="007128CD"/>
    <w:rsid w:val="007D67BE"/>
    <w:rsid w:val="007E4E10"/>
    <w:rsid w:val="008009D1"/>
    <w:rsid w:val="0081395C"/>
    <w:rsid w:val="00843283"/>
    <w:rsid w:val="00867EB7"/>
    <w:rsid w:val="00872681"/>
    <w:rsid w:val="008728EC"/>
    <w:rsid w:val="008740F9"/>
    <w:rsid w:val="008C7AF2"/>
    <w:rsid w:val="008D1D35"/>
    <w:rsid w:val="00921ED3"/>
    <w:rsid w:val="00922E2F"/>
    <w:rsid w:val="009702A2"/>
    <w:rsid w:val="009743D1"/>
    <w:rsid w:val="00975A6B"/>
    <w:rsid w:val="00985BF3"/>
    <w:rsid w:val="00985F3C"/>
    <w:rsid w:val="00986B09"/>
    <w:rsid w:val="009C50E3"/>
    <w:rsid w:val="009D4511"/>
    <w:rsid w:val="009D7642"/>
    <w:rsid w:val="009E1D0D"/>
    <w:rsid w:val="00A06164"/>
    <w:rsid w:val="00A35256"/>
    <w:rsid w:val="00A47DF4"/>
    <w:rsid w:val="00A9141D"/>
    <w:rsid w:val="00AA65D2"/>
    <w:rsid w:val="00AD12E1"/>
    <w:rsid w:val="00B012B9"/>
    <w:rsid w:val="00B14807"/>
    <w:rsid w:val="00B41504"/>
    <w:rsid w:val="00B9288D"/>
    <w:rsid w:val="00BE68E5"/>
    <w:rsid w:val="00BF6858"/>
    <w:rsid w:val="00C055DA"/>
    <w:rsid w:val="00C10576"/>
    <w:rsid w:val="00C14E7B"/>
    <w:rsid w:val="00C5036A"/>
    <w:rsid w:val="00C642EC"/>
    <w:rsid w:val="00C77C07"/>
    <w:rsid w:val="00C83000"/>
    <w:rsid w:val="00C94541"/>
    <w:rsid w:val="00CC3221"/>
    <w:rsid w:val="00D21452"/>
    <w:rsid w:val="00D52F18"/>
    <w:rsid w:val="00D57F00"/>
    <w:rsid w:val="00D6116F"/>
    <w:rsid w:val="00D7102D"/>
    <w:rsid w:val="00D81EAC"/>
    <w:rsid w:val="00DA6179"/>
    <w:rsid w:val="00DC2F7E"/>
    <w:rsid w:val="00DD6D00"/>
    <w:rsid w:val="00DE70B4"/>
    <w:rsid w:val="00DF76FF"/>
    <w:rsid w:val="00E624D5"/>
    <w:rsid w:val="00E81405"/>
    <w:rsid w:val="00E82AF9"/>
    <w:rsid w:val="00EF54A3"/>
    <w:rsid w:val="00F311A4"/>
    <w:rsid w:val="00F502D8"/>
    <w:rsid w:val="00FA1329"/>
    <w:rsid w:val="00FA5C20"/>
    <w:rsid w:val="00FF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6C1"/>
  </w:style>
  <w:style w:type="character" w:styleId="a5">
    <w:name w:val="Hyperlink"/>
    <w:basedOn w:val="a0"/>
    <w:uiPriority w:val="99"/>
    <w:unhideWhenUsed/>
    <w:rsid w:val="002221C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62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6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D1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39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zLabgEfo5yF+c6PMxCw3+srjdsgHAhrNkYGsTUjTYm0=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FTTgdmPu/m6Gym1y38ukiA2gH3nhk+6XDIQ3hg/Gie0=</DigestValue>
    </Reference>
  </SignedInfo>
  <SignatureValue>jPDJupUdXjCN756PIN2pHFVfG/vHzvuFqzUbItalf246TNWR4p9OZZ8LtjpUydML
4/+aCtiA/fnUtQ/cFZD6vQ==</SignatureValue>
  <KeyInfo>
    <X509Data>
      <X509Certificate>MIIKezCCCiigAwIBAgIKFxAvYQABAARlVzAKBggqhQMHAQEDAjCCAUExGDAWBgUq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0YIg0LjRgdC/0L7Qu9C90LXQvdC40Y8gNSkMX9Ch0LXRgNGC0LjRhNC40LrQsNGC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stGP0LfRjCDQoNC+0YHRgdC40LiCCwCnlDkFAAAAAAMEMB0GA1UdDgQWBBQoa2Ee
1Hqxo1y0MfuXDTX1hHsZbTAKBggqhQMHAQEDAgNBAFvZUocESSvIYPGw70KXNqtN
pt6S4PboqPzXh3QMxaDHW+XmFPso9b/OdkknD3kDfR+6Voir5x1cHAXlIRnKDIE=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pBI3HQn96A5jlifLmC8lByVBSDI=</DigestValue>
      </Reference>
      <Reference URI="/word/document.xml?ContentType=application/vnd.openxmlformats-officedocument.wordprocessingml.document.main+xml">
        <DigestMethod Algorithm="http://www.w3.org/2000/09/xmldsig#sha1"/>
        <DigestValue>Ykgk+FltdYIfCgj+7ZZ/mnD0zEw=</DigestValue>
      </Reference>
      <Reference URI="/word/endnotes.xml?ContentType=application/vnd.openxmlformats-officedocument.wordprocessingml.endnotes+xml">
        <DigestMethod Algorithm="http://www.w3.org/2000/09/xmldsig#sha1"/>
        <DigestValue>6wOTB2HhUdLW6sub3trdBQzjXC0=</DigestValue>
      </Reference>
      <Reference URI="/word/fontTable.xml?ContentType=application/vnd.openxmlformats-officedocument.wordprocessingml.fontTable+xml">
        <DigestMethod Algorithm="http://www.w3.org/2000/09/xmldsig#sha1"/>
        <DigestValue>9rFOzMAEdyfyzkWRn/wWJJ8t8sU=</DigestValue>
      </Reference>
      <Reference URI="/word/footnotes.xml?ContentType=application/vnd.openxmlformats-officedocument.wordprocessingml.footnotes+xml">
        <DigestMethod Algorithm="http://www.w3.org/2000/09/xmldsig#sha1"/>
        <DigestValue>2y7judsOI3maAIwuag0DJwdVlZY=</DigestValue>
      </Reference>
      <Reference URI="/word/media/image1.png?ContentType=image/png">
        <DigestMethod Algorithm="http://www.w3.org/2000/09/xmldsig#sha1"/>
        <DigestValue>XiWFed4ErL0GS79yTTfQqchtbJ8=</DigestValue>
      </Reference>
      <Reference URI="/word/numbering.xml?ContentType=application/vnd.openxmlformats-officedocument.wordprocessingml.numbering+xml">
        <DigestMethod Algorithm="http://www.w3.org/2000/09/xmldsig#sha1"/>
        <DigestValue>HR32TNfgMgSynkW392A7TIjYE8M=</DigestValue>
      </Reference>
      <Reference URI="/word/settings.xml?ContentType=application/vnd.openxmlformats-officedocument.wordprocessingml.settings+xml">
        <DigestMethod Algorithm="http://www.w3.org/2000/09/xmldsig#sha1"/>
        <DigestValue>oN5L28/c+izA73RtXQGubV23ytU=</DigestValue>
      </Reference>
      <Reference URI="/word/styles.xml?ContentType=application/vnd.openxmlformats-officedocument.wordprocessingml.styles+xml">
        <DigestMethod Algorithm="http://www.w3.org/2000/09/xmldsig#sha1"/>
        <DigestValue>dIvbYtKFhAqaM9aO20c/OmmWFso=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2020-05-06T12:48:12Z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2020-05-06T12:48:12Z</xd:SigningTime>
          <xd:SigningCertificate>
            <xd:Cert>
              <xd:CertDigest>
                <DigestMethod Algorithm="http://www.w3.org/2000/09/xmldsig#sha1"/>
                <DigestValue>jwJ9z60t8CZJl9aX5L5oYegiwnQ=</DigestValue>
              </xd:CertDigest>
              <xd:IssuerSerial>
                <X509IssuerName>CN="ЗАО ""ТАКСНЕТ""", O="ЗАО ""ТАКСНЕТ""", OU=Удостоверяющий центр, STREET="ул. Каюма Насыри, д. 28, оф. 1010", L=Казань, S=16 Республика Татарстан, C=RU, ИНН=001655045406, ОГРН=1021602855262</X509IssuerName>
                <X509SerialNumber>108912991021178011542871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to39-zueva</cp:lastModifiedBy>
  <cp:revision>2</cp:revision>
  <cp:lastPrinted>2018-11-22T16:22:00Z</cp:lastPrinted>
  <dcterms:created xsi:type="dcterms:W3CDTF">2020-05-12T15:05:00Z</dcterms:created>
  <dcterms:modified xsi:type="dcterms:W3CDTF">2020-05-12T15:05:00Z</dcterms:modified>
</cp:coreProperties>
</file>